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8095"/>
        <w:gridCol w:w="1246"/>
        <w:gridCol w:w="4605"/>
      </w:tblGrid>
      <w:tr w:rsidR="00BC26C7" w:rsidTr="00BC26C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 w:colFirst="2" w:colLast="2"/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BC26C7" w:rsidTr="00BC26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divId w:val="125701925"/>
              <w:rPr>
                <w:rFonts w:eastAsia="Times New Roman"/>
              </w:rPr>
            </w:pPr>
            <w:r>
              <w:rPr>
                <w:rFonts w:eastAsia="Times New Roman"/>
              </w:rPr>
              <w:t>UZ-54-6/21</w:t>
            </w:r>
          </w:p>
        </w:tc>
        <w:tc>
          <w:tcPr>
            <w:tcW w:w="2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BC26C7" w:rsidRDefault="00BC26C7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>- doplňuje se bod č. 9 - MŠ Jablíčko - Přijetí dotace se SZIF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10. 5. 2021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Mgr. Bc. Marie Válková,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Mgr. Naděžda Koštovalová, Ing. Petr Špindler, Věra Čermáková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BC26C7" w:rsidTr="00BC26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divId w:val="445661192"/>
              <w:rPr>
                <w:rFonts w:eastAsia="Times New Roman"/>
              </w:rPr>
            </w:pPr>
            <w:r>
              <w:rPr>
                <w:rFonts w:eastAsia="Times New Roman"/>
              </w:rPr>
              <w:t>UZ-55-6/21</w:t>
            </w:r>
          </w:p>
        </w:tc>
        <w:tc>
          <w:tcPr>
            <w:tcW w:w="2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výsledku koncesního řízení "Provozování vodohospodářské infrastruktury obce Velké Přílepy"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BC26C7" w:rsidRDefault="00BC26C7">
            <w:pPr>
              <w:pStyle w:val="Normlnweb"/>
            </w:pPr>
            <w:r>
              <w:t>Zastupitelstvo obce po projednání</w:t>
            </w:r>
          </w:p>
          <w:p w:rsidR="00BC26C7" w:rsidRDefault="00BC26C7">
            <w:pPr>
              <w:pStyle w:val="Normlnweb"/>
            </w:pPr>
            <w:r>
              <w:t> I. schvaluje výsledek koncesního řízení na akci: „Provozování vodohospodářské infrastruktury obce </w:t>
            </w:r>
            <w:r>
              <w:rPr>
                <w:rStyle w:val="possible-name"/>
              </w:rPr>
              <w:t>Velké</w:t>
            </w:r>
            <w:r>
              <w:t> Přílepy“ a přidělení zakázky účastníkovi: 1. Vodohospodářská společnost, s.r.o., se sídlem </w:t>
            </w:r>
            <w:r>
              <w:rPr>
                <w:rStyle w:val="possible-name"/>
              </w:rPr>
              <w:t>Kladenská</w:t>
            </w:r>
            <w:r>
              <w:t> 132, 252 64 </w:t>
            </w:r>
            <w:r>
              <w:rPr>
                <w:rStyle w:val="possible-name"/>
              </w:rPr>
              <w:t>Velké</w:t>
            </w:r>
            <w:r>
              <w:t> Přílepy, IČ: 47551917 se soutěžní cenou 40,72 Kč/m3 bez DPH.</w:t>
            </w:r>
          </w:p>
          <w:p w:rsidR="00BC26C7" w:rsidRDefault="00BC26C7">
            <w:pPr>
              <w:pStyle w:val="Normlnweb"/>
            </w:pPr>
            <w:r>
              <w:t> II. pověřuje starostku obce podepsáním rozhodnutí o přidělení zakázky a odeslání na účastníky koncesního řízení.</w:t>
            </w:r>
          </w:p>
          <w:p w:rsidR="00BC26C7" w:rsidRDefault="00BC26C7">
            <w:pPr>
              <w:pStyle w:val="Normlnweb"/>
            </w:pPr>
            <w:r>
              <w:t> III. pověřuje místostarostu obce zajištění posouzení koncesního řízení poskytovatele dotace – SFŽP ČR a dále zasláním žádosti o předchozí stanovisko k uzavření koncesní smlouvy podle § 186 zákona č. 134/2016 sb., o zadávání veřejných zakázek na MF ČR.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10. 5. 2021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(8)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Naděžda Koštovalová, Doc. Ing. Michael Rykl Ph.D., Jiří Říha,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Bc. Josef Daněk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(4) Ing. Petr Špindler, Ing. Rostislav Dias,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>, Mgr. Bc. Marie Válková</w:t>
            </w:r>
          </w:p>
        </w:tc>
      </w:tr>
      <w:tr w:rsidR="00BC26C7" w:rsidTr="00BC26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divId w:val="31661507"/>
              <w:rPr>
                <w:rFonts w:eastAsia="Times New Roman"/>
              </w:rPr>
            </w:pPr>
            <w:r>
              <w:rPr>
                <w:rFonts w:eastAsia="Times New Roman"/>
              </w:rPr>
              <w:t>UZ-56-6/21</w:t>
            </w:r>
          </w:p>
        </w:tc>
        <w:tc>
          <w:tcPr>
            <w:tcW w:w="2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Koupě pozemku </w:t>
            </w:r>
            <w:proofErr w:type="spellStart"/>
            <w:proofErr w:type="gramStart"/>
            <w:r>
              <w:rPr>
                <w:rFonts w:eastAsia="Times New Roman"/>
              </w:rPr>
              <w:t>par.č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64/35 v </w:t>
            </w:r>
            <w:proofErr w:type="spellStart"/>
            <w:r>
              <w:rPr>
                <w:rFonts w:eastAsia="Times New Roman"/>
              </w:rPr>
              <w:t>k.ú</w:t>
            </w:r>
            <w:proofErr w:type="spellEnd"/>
            <w:r>
              <w:rPr>
                <w:rFonts w:eastAsia="Times New Roman"/>
              </w:rPr>
              <w:t>.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BC26C7" w:rsidRDefault="00BC26C7">
            <w:pPr>
              <w:pStyle w:val="Normlnweb"/>
            </w:pPr>
            <w:r>
              <w:t xml:space="preserve">Zastupitelstvo obce po projednání schvaluje koupi pozemku </w:t>
            </w:r>
            <w:proofErr w:type="spellStart"/>
            <w:proofErr w:type="gramStart"/>
            <w:r>
              <w:t>par.č</w:t>
            </w:r>
            <w:proofErr w:type="spellEnd"/>
            <w:r>
              <w:t>.</w:t>
            </w:r>
            <w:proofErr w:type="gramEnd"/>
            <w:r>
              <w:t xml:space="preserve"> 64/35 v </w:t>
            </w:r>
            <w:proofErr w:type="spellStart"/>
            <w:r>
              <w:t>k.ú</w:t>
            </w:r>
            <w:proofErr w:type="spellEnd"/>
            <w:r>
              <w:t xml:space="preserve">. </w:t>
            </w:r>
            <w:r>
              <w:rPr>
                <w:rStyle w:val="possible-name"/>
              </w:rPr>
              <w:t>Velké</w:t>
            </w:r>
            <w:r>
              <w:t xml:space="preserve"> Přílepy o celkové výměře 522 m2 do vlastnictví obce za cenu 490 000 Kč.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10. 5. 2021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Mgr. Naděžda Koštovalová,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Bc. Marie Válková,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Ing. Petr Špindler, Věra Čermáková,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(3) Ing. Rostislav Dias,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lastRenderedPageBreak/>
              <w:t>Doc. Ing. Michael Rykl Ph.D.</w:t>
            </w:r>
          </w:p>
        </w:tc>
      </w:tr>
      <w:tr w:rsidR="00BC26C7" w:rsidTr="00BC26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divId w:val="128018043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UZ-57-6/21</w:t>
            </w:r>
          </w:p>
        </w:tc>
        <w:tc>
          <w:tcPr>
            <w:tcW w:w="2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MŠ Jablíčko - Přijetí dotace se SZIF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BC26C7" w:rsidRDefault="00BC26C7">
            <w:pPr>
              <w:pStyle w:val="Normlnweb"/>
            </w:pPr>
            <w:r>
              <w:t>Zastupitelstvo obce po projednání schvaluje přijetí dotace ve výši 228 157 Kč ze SZIF z programu č. 19.2.1. Podpora provádění operací v rámci komunitně vedeného místního rozvoje na projekt "Naučná stezka MŠ Jablíčko".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10. 5. 2021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6C7" w:rsidRDefault="00BC26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(12) Jiří Říha, Bc. Josef Daněk,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Ing. Petr Špindler, Mgr. Naděžda Koštovalová, Mgr. Bc. Marie Válková, Věra Čermáková,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bookmarkEnd w:id="0"/>
    </w:tbl>
    <w:p w:rsidR="00000000" w:rsidRDefault="00BC26C7">
      <w:pPr>
        <w:rPr>
          <w:rFonts w:eastAsia="Times New Roman"/>
          <w:vanish/>
        </w:rPr>
      </w:pPr>
    </w:p>
    <w:p w:rsidR="00000000" w:rsidRDefault="00BC26C7">
      <w:pPr>
        <w:rPr>
          <w:rFonts w:eastAsia="Times New Roman"/>
        </w:rPr>
      </w:pPr>
    </w:p>
    <w:sectPr w:rsidR="00000000" w:rsidSect="00BC26C7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26C7">
      <w:r>
        <w:separator/>
      </w:r>
    </w:p>
  </w:endnote>
  <w:endnote w:type="continuationSeparator" w:id="0">
    <w:p w:rsidR="00000000" w:rsidRDefault="00BC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26C7">
    <w:pPr>
      <w:pStyle w:val="foo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  <w:r>
      <w:br/>
      <w:t xml:space="preserve">24. 5. 2021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26C7">
      <w:r>
        <w:separator/>
      </w:r>
    </w:p>
  </w:footnote>
  <w:footnote w:type="continuationSeparator" w:id="0">
    <w:p w:rsidR="00000000" w:rsidRDefault="00BC2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26C7">
    <w:pPr>
      <w:pStyle w:val="header"/>
    </w:pPr>
    <w:r>
      <w:t>2105241325629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26C7"/>
    <w:rsid w:val="00B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5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9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9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43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2021-05-24T11:26:00Z</cp:lastPrinted>
  <dcterms:created xsi:type="dcterms:W3CDTF">2021-05-24T11:27:00Z</dcterms:created>
  <dcterms:modified xsi:type="dcterms:W3CDTF">2021-05-24T11:27:00Z</dcterms:modified>
</cp:coreProperties>
</file>